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0369A840"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2D0CB6">
        <w:rPr>
          <w:rFonts w:eastAsia="宋体" w:cs="Arial"/>
          <w:noProof w:val="0"/>
          <w:sz w:val="24"/>
          <w:szCs w:val="24"/>
          <w:lang w:val="en-US" w:eastAsia="zh-CN"/>
        </w:rPr>
        <w:t>12584</w:t>
      </w:r>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57517B35"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13A7">
        <w:rPr>
          <w:rFonts w:ascii="Arial" w:eastAsia="宋体" w:hAnsi="Arial" w:cs="Arial" w:hint="eastAsia"/>
          <w:sz w:val="22"/>
          <w:lang w:eastAsia="zh-CN"/>
        </w:rPr>
        <w:t>Further</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discussion</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on</w:t>
      </w:r>
      <w:r w:rsidR="006C13A7">
        <w:rPr>
          <w:rFonts w:ascii="Arial" w:eastAsia="宋体" w:hAnsi="Arial" w:cs="Arial"/>
          <w:sz w:val="22"/>
          <w:lang w:eastAsia="zh-CN"/>
        </w:rPr>
        <w:t xml:space="preserve"> </w:t>
      </w:r>
      <w:r w:rsidR="00ED3669">
        <w:rPr>
          <w:rFonts w:ascii="Arial" w:eastAsia="宋体" w:hAnsi="Arial" w:cs="Arial"/>
          <w:sz w:val="22"/>
          <w:lang w:eastAsia="zh-CN"/>
        </w:rPr>
        <w:t>system parameters for SL-U</w:t>
      </w:r>
    </w:p>
    <w:p w14:paraId="2A283A75" w14:textId="0DFF0B8C"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82805" w:rsidRPr="00982805">
        <w:rPr>
          <w:rFonts w:ascii="Arial" w:eastAsia="宋体" w:hAnsi="Arial" w:cs="Arial"/>
          <w:sz w:val="22"/>
          <w:lang w:eastAsia="zh-CN"/>
        </w:rPr>
        <w:t>8.30.2.1.1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7F22B4D5"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w:t>
      </w:r>
      <w:bookmarkStart w:id="2" w:name="_Hlk134696308"/>
      <w:r w:rsidR="00EB3EB1">
        <w:rPr>
          <w:rFonts w:eastAsia="等线"/>
          <w:lang w:eastAsia="zh-CN"/>
        </w:rPr>
        <w:t>had extensive discussions on system parameters for SL-U and the agreements were captured in [1]. A TP [1] on system parameters for SL-U single carrier operation were approved, including operating bands, channel bandwidth, channel raster. One remaining issue left open is sync raster for SL-U operating bands. In this contribution, we further discuss this open issue for SL-U bands.</w:t>
      </w:r>
    </w:p>
    <w:bookmarkEnd w:id="2"/>
    <w:p w14:paraId="32F27B47" w14:textId="209D929E" w:rsidR="00EB3EB1" w:rsidRDefault="00853ECB" w:rsidP="00EB3EB1">
      <w:pPr>
        <w:pStyle w:val="1"/>
        <w:rPr>
          <w:rFonts w:eastAsia="宋体"/>
          <w:lang w:eastAsia="zh-CN"/>
        </w:rPr>
      </w:pPr>
      <w:r>
        <w:rPr>
          <w:rFonts w:eastAsia="宋体" w:hint="eastAsia"/>
          <w:lang w:eastAsia="zh-CN"/>
        </w:rPr>
        <w:t>Discussion</w:t>
      </w:r>
      <w:bookmarkStart w:id="3" w:name="_Hlk110692848"/>
      <w:bookmarkStart w:id="4" w:name="_Hlk110697904"/>
      <w:bookmarkStart w:id="5" w:name="_Hlk134720615"/>
    </w:p>
    <w:p w14:paraId="580E84A6" w14:textId="5E5DB8B9" w:rsidR="00EB3EB1" w:rsidRPr="00EB3EB1" w:rsidRDefault="00EB3EB1" w:rsidP="00EB3EB1">
      <w:pPr>
        <w:rPr>
          <w:rFonts w:eastAsia="宋体"/>
          <w:lang w:eastAsia="zh-CN"/>
        </w:rPr>
      </w:pPr>
      <w:r>
        <w:rPr>
          <w:rFonts w:eastAsia="宋体"/>
          <w:lang w:eastAsia="zh-CN"/>
        </w:rPr>
        <w:t>For sync raster issue, the way forward in RAN4#106bis-e was captured as follows:</w:t>
      </w:r>
    </w:p>
    <w:p w14:paraId="1B7028BD" w14:textId="77777777" w:rsidR="00EB3EB1" w:rsidRPr="00EB3EB1" w:rsidRDefault="00EB3EB1" w:rsidP="00EB3EB1">
      <w:pPr>
        <w:overflowPunct/>
        <w:autoSpaceDE/>
        <w:adjustRightInd/>
        <w:spacing w:after="120"/>
        <w:textAlignment w:val="auto"/>
        <w:rPr>
          <w:rFonts w:eastAsia="宋体"/>
          <w:b/>
          <w:u w:val="single"/>
          <w:lang w:eastAsia="zh-CN"/>
        </w:rPr>
      </w:pPr>
      <w:r w:rsidRPr="00EB3EB1">
        <w:rPr>
          <w:rFonts w:eastAsia="宋体"/>
          <w:b/>
          <w:u w:val="single"/>
          <w:lang w:eastAsia="zh-CN"/>
        </w:rPr>
        <w:t>Issue 2-5-1: Sync raster definition</w:t>
      </w:r>
    </w:p>
    <w:p w14:paraId="38D79B40" w14:textId="77777777" w:rsidR="00EB3EB1" w:rsidRPr="00EB3EB1" w:rsidRDefault="00EB3EB1" w:rsidP="00EB3EB1">
      <w:pPr>
        <w:numPr>
          <w:ilvl w:val="0"/>
          <w:numId w:val="30"/>
        </w:numPr>
        <w:overflowPunct/>
        <w:autoSpaceDE/>
        <w:adjustRightInd/>
        <w:spacing w:after="120"/>
        <w:textAlignment w:val="auto"/>
        <w:rPr>
          <w:rFonts w:eastAsia="宋体"/>
          <w:lang w:eastAsia="zh-CN"/>
        </w:rPr>
      </w:pPr>
      <w:r w:rsidRPr="00EB3EB1">
        <w:rPr>
          <w:rFonts w:eastAsia="宋体"/>
          <w:lang w:eastAsia="zh-CN"/>
        </w:rPr>
        <w:t xml:space="preserve">Proposals: </w:t>
      </w:r>
    </w:p>
    <w:p w14:paraId="426BAFC1" w14:textId="77777777" w:rsidR="00EB3EB1" w:rsidRPr="00EB3EB1" w:rsidRDefault="00EB3EB1" w:rsidP="00EB3EB1">
      <w:pPr>
        <w:numPr>
          <w:ilvl w:val="1"/>
          <w:numId w:val="30"/>
        </w:numPr>
        <w:overflowPunct/>
        <w:autoSpaceDE/>
        <w:adjustRightInd/>
        <w:spacing w:after="120"/>
        <w:textAlignment w:val="auto"/>
        <w:rPr>
          <w:rFonts w:eastAsia="宋体"/>
          <w:lang w:eastAsia="zh-CN"/>
        </w:rPr>
      </w:pPr>
      <w:r w:rsidRPr="00EB3EB1">
        <w:rPr>
          <w:rFonts w:eastAsia="宋体"/>
          <w:lang w:eastAsia="zh-CN"/>
        </w:rPr>
        <w:t xml:space="preserve">Option 1: Do not define sync raster for NR SL-U, which is also the case for Rel-16 NR V2X. </w:t>
      </w:r>
    </w:p>
    <w:p w14:paraId="38426039" w14:textId="77777777" w:rsidR="00EB3EB1" w:rsidRPr="00EB3EB1" w:rsidRDefault="00EB3EB1" w:rsidP="00EB3EB1">
      <w:pPr>
        <w:numPr>
          <w:ilvl w:val="1"/>
          <w:numId w:val="30"/>
        </w:numPr>
        <w:overflowPunct/>
        <w:autoSpaceDE/>
        <w:adjustRightInd/>
        <w:spacing w:after="120"/>
        <w:textAlignment w:val="auto"/>
        <w:rPr>
          <w:rFonts w:eastAsia="宋体"/>
          <w:lang w:eastAsia="zh-CN"/>
        </w:rPr>
      </w:pPr>
      <w:r w:rsidRPr="00EB3EB1">
        <w:rPr>
          <w:rFonts w:eastAsia="宋体"/>
          <w:lang w:eastAsia="zh-CN"/>
        </w:rPr>
        <w:t>Option 2: Defer sync raster discussion for SL-U after RAN1 concludes S-SSB design.</w:t>
      </w:r>
    </w:p>
    <w:p w14:paraId="65722DC4" w14:textId="77777777" w:rsidR="00EB3EB1" w:rsidRPr="00EB3EB1" w:rsidRDefault="00EB3EB1" w:rsidP="00EB3EB1">
      <w:pPr>
        <w:overflowPunct/>
        <w:autoSpaceDE/>
        <w:adjustRightInd/>
        <w:spacing w:after="120"/>
        <w:textAlignment w:val="auto"/>
        <w:rPr>
          <w:rFonts w:eastAsia="宋体"/>
          <w:b/>
          <w:lang w:eastAsia="zh-CN"/>
        </w:rPr>
      </w:pPr>
      <w:r w:rsidRPr="00EB3EB1">
        <w:rPr>
          <w:rFonts w:eastAsia="宋体"/>
          <w:b/>
          <w:lang w:eastAsia="zh-CN"/>
        </w:rPr>
        <w:t>Way forward:</w:t>
      </w:r>
    </w:p>
    <w:p w14:paraId="6852A7D8" w14:textId="58509A97" w:rsidR="00EB3EB1" w:rsidRPr="00982525" w:rsidRDefault="00EB3EB1" w:rsidP="00EB3EB1">
      <w:pPr>
        <w:numPr>
          <w:ilvl w:val="1"/>
          <w:numId w:val="30"/>
        </w:numPr>
        <w:overflowPunct/>
        <w:autoSpaceDE/>
        <w:adjustRightInd/>
        <w:spacing w:after="120"/>
        <w:textAlignment w:val="auto"/>
        <w:rPr>
          <w:rFonts w:eastAsia="宋体"/>
          <w:highlight w:val="yellow"/>
          <w:lang w:eastAsia="zh-CN"/>
        </w:rPr>
      </w:pPr>
      <w:r w:rsidRPr="00982525">
        <w:rPr>
          <w:rFonts w:eastAsia="宋体"/>
          <w:highlight w:val="yellow"/>
          <w:lang w:eastAsia="zh-CN"/>
        </w:rPr>
        <w:t>Defer sync raster discussion for SL-U after RAN1 concludes S-SSB design, and if RAN1 conclude that the S-SSB is configured by NW, then do not define sync raster for NR SL-U similar as the case for Rel-16 NR V2X</w:t>
      </w:r>
    </w:p>
    <w:p w14:paraId="4F11632C" w14:textId="255AF4F2" w:rsidR="00982525" w:rsidRDefault="00581474" w:rsidP="00982525">
      <w:pPr>
        <w:jc w:val="both"/>
        <w:rPr>
          <w:rFonts w:eastAsia="等线"/>
          <w:lang w:val="en-US" w:eastAsia="zh-CN"/>
        </w:rPr>
      </w:pPr>
      <w:r>
        <w:rPr>
          <w:rFonts w:eastAsia="等线" w:hint="eastAsia"/>
          <w:lang w:val="en-US" w:eastAsia="zh-CN"/>
        </w:rPr>
        <w:t>The</w:t>
      </w:r>
      <w:r>
        <w:rPr>
          <w:rFonts w:eastAsia="等线"/>
          <w:lang w:val="en-US" w:eastAsia="zh-CN"/>
        </w:rPr>
        <w:t xml:space="preserve"> sync raster issue was deferred according to RAN1’s design on S-SSB</w:t>
      </w:r>
      <w:r w:rsidR="00216487">
        <w:rPr>
          <w:rFonts w:eastAsia="等线"/>
          <w:lang w:val="en-US" w:eastAsia="zh-CN"/>
        </w:rPr>
        <w:t xml:space="preserve"> in RAN4#106bis-e</w:t>
      </w:r>
      <w:r>
        <w:rPr>
          <w:rFonts w:eastAsia="等线"/>
          <w:lang w:val="en-US" w:eastAsia="zh-CN"/>
        </w:rPr>
        <w:t xml:space="preserve">. </w:t>
      </w:r>
      <w:r w:rsidR="00216487">
        <w:rPr>
          <w:rFonts w:eastAsia="等线"/>
          <w:lang w:val="en-US" w:eastAsia="zh-CN"/>
        </w:rPr>
        <w:t>At this time being, t</w:t>
      </w:r>
      <w:r>
        <w:rPr>
          <w:rFonts w:eastAsia="等线"/>
          <w:lang w:val="en-US" w:eastAsia="zh-CN"/>
        </w:rPr>
        <w:t>he following agreements were reached in RAN1 on S-SSB on unlicensed spectrum:</w:t>
      </w:r>
    </w:p>
    <w:tbl>
      <w:tblPr>
        <w:tblStyle w:val="aff"/>
        <w:tblW w:w="0" w:type="auto"/>
        <w:tblLook w:val="04A0" w:firstRow="1" w:lastRow="0" w:firstColumn="1" w:lastColumn="0" w:noHBand="0" w:noVBand="1"/>
      </w:tblPr>
      <w:tblGrid>
        <w:gridCol w:w="9019"/>
      </w:tblGrid>
      <w:tr w:rsidR="00581474" w:rsidRPr="007B6480" w14:paraId="3A132AA4" w14:textId="77777777" w:rsidTr="00A97140">
        <w:tc>
          <w:tcPr>
            <w:tcW w:w="9019" w:type="dxa"/>
          </w:tcPr>
          <w:p w14:paraId="6BCB5769" w14:textId="77777777" w:rsidR="00581474" w:rsidRPr="007B6480" w:rsidRDefault="00581474" w:rsidP="00A97140">
            <w:pPr>
              <w:spacing w:before="120" w:after="120"/>
              <w:rPr>
                <w:b/>
              </w:rPr>
            </w:pPr>
            <w:r w:rsidRPr="007B6480">
              <w:rPr>
                <w:b/>
                <w:highlight w:val="green"/>
              </w:rPr>
              <w:t>Agreement</w:t>
            </w:r>
          </w:p>
          <w:p w14:paraId="72E557CB" w14:textId="77777777" w:rsidR="00581474" w:rsidRPr="007B6480" w:rsidRDefault="00581474" w:rsidP="00A97140">
            <w:pPr>
              <w:spacing w:before="120" w:after="120"/>
              <w:rPr>
                <w:rFonts w:eastAsia="微软雅黑"/>
              </w:rPr>
            </w:pPr>
            <w:r w:rsidRPr="007B6480">
              <w:rPr>
                <w:rFonts w:eastAsia="微软雅黑"/>
              </w:rPr>
              <w:t>When the SL-BWP contains multiple RB sets, support the followings:</w:t>
            </w:r>
          </w:p>
          <w:p w14:paraId="6366024D" w14:textId="77777777" w:rsidR="00581474" w:rsidRPr="007B6480" w:rsidRDefault="00581474" w:rsidP="00581474">
            <w:pPr>
              <w:numPr>
                <w:ilvl w:val="0"/>
                <w:numId w:val="31"/>
              </w:numPr>
              <w:overflowPunct/>
              <w:autoSpaceDE/>
              <w:autoSpaceDN/>
              <w:adjustRightInd/>
              <w:spacing w:before="120" w:after="120"/>
              <w:textAlignment w:val="auto"/>
              <w:rPr>
                <w:rFonts w:eastAsia="微软雅黑"/>
              </w:rPr>
            </w:pPr>
            <w:r w:rsidRPr="007B6480">
              <w:rPr>
                <w:rFonts w:eastAsia="微软雅黑"/>
              </w:rPr>
              <w:t>When UE attempts to transmit S-SSB in a S-SSB occasion (e.g., R16/17 S-SSB occasion, R18 additional candidate S-SSB occasion)</w:t>
            </w:r>
          </w:p>
          <w:p w14:paraId="5B73320A" w14:textId="77777777" w:rsidR="00581474" w:rsidRPr="007B6480" w:rsidRDefault="00581474" w:rsidP="00581474">
            <w:pPr>
              <w:numPr>
                <w:ilvl w:val="1"/>
                <w:numId w:val="31"/>
              </w:numPr>
              <w:overflowPunct/>
              <w:autoSpaceDE/>
              <w:autoSpaceDN/>
              <w:adjustRightInd/>
              <w:spacing w:before="120" w:after="120"/>
              <w:textAlignment w:val="auto"/>
              <w:rPr>
                <w:rFonts w:eastAsia="微软雅黑"/>
              </w:rPr>
            </w:pPr>
            <w:r w:rsidRPr="007B6480">
              <w:rPr>
                <w:rFonts w:eastAsia="微软雅黑"/>
              </w:rPr>
              <w:t>UE may transmit S-SSB repetition in more than one RB set</w:t>
            </w:r>
          </w:p>
          <w:p w14:paraId="6D53A350" w14:textId="77777777" w:rsidR="00581474" w:rsidRPr="007B6480" w:rsidRDefault="00581474" w:rsidP="00581474">
            <w:pPr>
              <w:numPr>
                <w:ilvl w:val="2"/>
                <w:numId w:val="31"/>
              </w:numPr>
              <w:overflowPunct/>
              <w:autoSpaceDE/>
              <w:autoSpaceDN/>
              <w:adjustRightInd/>
              <w:spacing w:before="120" w:after="120"/>
              <w:textAlignment w:val="auto"/>
              <w:rPr>
                <w:rFonts w:eastAsia="微软雅黑"/>
              </w:rPr>
            </w:pPr>
            <w:r w:rsidRPr="007B6480">
              <w:rPr>
                <w:rFonts w:eastAsia="微软雅黑"/>
              </w:rPr>
              <w:t>Down-select one of the followings in RAN1#114:</w:t>
            </w:r>
          </w:p>
          <w:p w14:paraId="3CAD33AA" w14:textId="77777777" w:rsidR="00581474" w:rsidRPr="007B6480" w:rsidRDefault="00581474" w:rsidP="00581474">
            <w:pPr>
              <w:numPr>
                <w:ilvl w:val="3"/>
                <w:numId w:val="31"/>
              </w:numPr>
              <w:overflowPunct/>
              <w:autoSpaceDE/>
              <w:autoSpaceDN/>
              <w:adjustRightInd/>
              <w:spacing w:before="120" w:after="120"/>
              <w:textAlignment w:val="auto"/>
              <w:rPr>
                <w:rFonts w:eastAsia="微软雅黑"/>
              </w:rPr>
            </w:pPr>
            <w:r w:rsidRPr="007B6480">
              <w:rPr>
                <w:rFonts w:eastAsia="微软雅黑"/>
              </w:rPr>
              <w:t>Alt 1: At least the power for S-SSB transmission on anchor RB set does not change due to the number of used RB sets</w:t>
            </w:r>
          </w:p>
          <w:p w14:paraId="5BA3E77C" w14:textId="77777777" w:rsidR="00581474" w:rsidRPr="007B6480" w:rsidRDefault="00581474" w:rsidP="00581474">
            <w:pPr>
              <w:numPr>
                <w:ilvl w:val="4"/>
                <w:numId w:val="31"/>
              </w:numPr>
              <w:overflowPunct/>
              <w:autoSpaceDE/>
              <w:autoSpaceDN/>
              <w:adjustRightInd/>
              <w:spacing w:before="120" w:after="120"/>
              <w:textAlignment w:val="auto"/>
              <w:rPr>
                <w:rFonts w:eastAsia="微软雅黑"/>
              </w:rPr>
            </w:pPr>
            <w:r w:rsidRPr="007B6480">
              <w:rPr>
                <w:rFonts w:eastAsia="微软雅黑"/>
              </w:rPr>
              <w:t>FFS details, e.g., whether this can be satisfied by (pre-)configuration, whether the power for S-SSB transmission on other RB set(s) also does not change due to the number of used RB sets, etc.</w:t>
            </w:r>
          </w:p>
          <w:p w14:paraId="39F45B03" w14:textId="77777777" w:rsidR="00581474" w:rsidRPr="007B6480" w:rsidRDefault="00581474" w:rsidP="00581474">
            <w:pPr>
              <w:numPr>
                <w:ilvl w:val="3"/>
                <w:numId w:val="31"/>
              </w:numPr>
              <w:overflowPunct/>
              <w:autoSpaceDE/>
              <w:autoSpaceDN/>
              <w:adjustRightInd/>
              <w:spacing w:before="120" w:after="120"/>
              <w:textAlignment w:val="auto"/>
              <w:rPr>
                <w:rFonts w:eastAsia="微软雅黑"/>
              </w:rPr>
            </w:pPr>
            <w:r w:rsidRPr="007B6480">
              <w:rPr>
                <w:rFonts w:eastAsia="微软雅黑"/>
              </w:rPr>
              <w:t>Alt 2: The power for S-SSB transmission on each RB set does not change due to the number of used RB sets</w:t>
            </w:r>
          </w:p>
          <w:p w14:paraId="6E544932" w14:textId="77777777" w:rsidR="00581474" w:rsidRPr="007B6480" w:rsidRDefault="00581474" w:rsidP="00581474">
            <w:pPr>
              <w:numPr>
                <w:ilvl w:val="4"/>
                <w:numId w:val="31"/>
              </w:numPr>
              <w:overflowPunct/>
              <w:autoSpaceDE/>
              <w:autoSpaceDN/>
              <w:adjustRightInd/>
              <w:spacing w:before="120" w:after="120"/>
              <w:textAlignment w:val="auto"/>
              <w:rPr>
                <w:rFonts w:eastAsia="微软雅黑"/>
              </w:rPr>
            </w:pPr>
            <w:r w:rsidRPr="007B6480">
              <w:rPr>
                <w:rFonts w:eastAsia="微软雅黑"/>
              </w:rPr>
              <w:t>FFS details, e.g., whether this can be satisfied by (pre-)configuration, etc.</w:t>
            </w:r>
          </w:p>
          <w:p w14:paraId="3288EB77" w14:textId="77777777" w:rsidR="00581474" w:rsidRPr="007B6480" w:rsidRDefault="00581474" w:rsidP="00581474">
            <w:pPr>
              <w:numPr>
                <w:ilvl w:val="2"/>
                <w:numId w:val="31"/>
              </w:numPr>
              <w:overflowPunct/>
              <w:autoSpaceDE/>
              <w:autoSpaceDN/>
              <w:adjustRightInd/>
              <w:spacing w:before="120" w:after="120"/>
              <w:textAlignment w:val="auto"/>
              <w:rPr>
                <w:rFonts w:eastAsia="微软雅黑"/>
              </w:rPr>
            </w:pPr>
            <w:r w:rsidRPr="007B6480">
              <w:rPr>
                <w:rFonts w:eastAsia="微软雅黑"/>
              </w:rPr>
              <w:lastRenderedPageBreak/>
              <w:t>FFS: Locations of S-SSB repetitions in each RB set are the same as the locations of S-SSB repetitions in the anchor RB set</w:t>
            </w:r>
          </w:p>
          <w:p w14:paraId="49BE0813" w14:textId="77777777" w:rsidR="00581474" w:rsidRPr="007B6480" w:rsidRDefault="00581474" w:rsidP="00581474">
            <w:pPr>
              <w:numPr>
                <w:ilvl w:val="2"/>
                <w:numId w:val="31"/>
              </w:numPr>
              <w:overflowPunct/>
              <w:autoSpaceDE/>
              <w:autoSpaceDN/>
              <w:adjustRightInd/>
              <w:spacing w:before="120" w:after="120"/>
              <w:textAlignment w:val="auto"/>
              <w:rPr>
                <w:rFonts w:eastAsia="微软雅黑"/>
              </w:rPr>
            </w:pPr>
            <w:r w:rsidRPr="007B6480">
              <w:rPr>
                <w:rFonts w:eastAsia="微软雅黑"/>
              </w:rPr>
              <w:t>FFS: how to (pre)configure resources for the S-SSB repetitions</w:t>
            </w:r>
          </w:p>
          <w:p w14:paraId="1A48A48F" w14:textId="77777777" w:rsidR="00581474" w:rsidRPr="00581474" w:rsidRDefault="00581474" w:rsidP="00581474">
            <w:pPr>
              <w:numPr>
                <w:ilvl w:val="2"/>
                <w:numId w:val="31"/>
              </w:numPr>
              <w:overflowPunct/>
              <w:autoSpaceDE/>
              <w:autoSpaceDN/>
              <w:adjustRightInd/>
              <w:spacing w:before="120" w:after="120"/>
              <w:textAlignment w:val="auto"/>
              <w:rPr>
                <w:rFonts w:eastAsia="微软雅黑"/>
                <w:highlight w:val="green"/>
              </w:rPr>
            </w:pPr>
            <w:r w:rsidRPr="00581474">
              <w:rPr>
                <w:rFonts w:eastAsia="微软雅黑"/>
                <w:highlight w:val="green"/>
              </w:rPr>
              <w:t xml:space="preserve">Note: anchor RB set refers to the RB set where </w:t>
            </w:r>
            <w:bookmarkStart w:id="6" w:name="_Hlk142474117"/>
            <w:r w:rsidRPr="00581474">
              <w:rPr>
                <w:rFonts w:eastAsia="微软雅黑"/>
                <w:highlight w:val="green"/>
              </w:rPr>
              <w:t xml:space="preserve">S-SSB indicated by </w:t>
            </w:r>
            <w:r w:rsidRPr="00581474">
              <w:rPr>
                <w:rFonts w:eastAsia="微软雅黑"/>
                <w:i/>
                <w:highlight w:val="green"/>
              </w:rPr>
              <w:t xml:space="preserve">sl-AbsoluteFrequencySSB-r16 </w:t>
            </w:r>
            <w:r w:rsidRPr="00581474">
              <w:rPr>
                <w:rFonts w:eastAsia="微软雅黑"/>
                <w:highlight w:val="green"/>
              </w:rPr>
              <w:t>locates</w:t>
            </w:r>
          </w:p>
          <w:bookmarkEnd w:id="6"/>
          <w:p w14:paraId="3ECC2E26" w14:textId="574B93B0" w:rsidR="00581474" w:rsidRPr="00581474" w:rsidRDefault="00581474" w:rsidP="00581474">
            <w:pPr>
              <w:numPr>
                <w:ilvl w:val="2"/>
                <w:numId w:val="31"/>
              </w:numPr>
              <w:overflowPunct/>
              <w:autoSpaceDE/>
              <w:autoSpaceDN/>
              <w:adjustRightInd/>
              <w:spacing w:before="120" w:after="120"/>
              <w:textAlignment w:val="auto"/>
              <w:rPr>
                <w:rFonts w:eastAsia="微软雅黑"/>
              </w:rPr>
            </w:pPr>
            <w:r w:rsidRPr="007B6480">
              <w:rPr>
                <w:rFonts w:eastAsia="微软雅黑"/>
              </w:rPr>
              <w:t>Note: whether UE can transmit S-SSBs over non-contiguous RB sets is subject to RAN4’s reply, details can be found in RAN1’s LS to RAN4 in R1-2304218, R1-2306198</w:t>
            </w:r>
          </w:p>
        </w:tc>
      </w:tr>
    </w:tbl>
    <w:p w14:paraId="02CD9593" w14:textId="7A2A8BD6" w:rsidR="00581474" w:rsidRDefault="00581474" w:rsidP="005F2AA3">
      <w:pPr>
        <w:jc w:val="both"/>
        <w:rPr>
          <w:rFonts w:eastAsia="等线"/>
          <w:lang w:eastAsia="zh-CN"/>
        </w:rPr>
      </w:pPr>
      <w:r>
        <w:rPr>
          <w:rFonts w:eastAsia="等线"/>
          <w:lang w:eastAsia="zh-CN"/>
        </w:rPr>
        <w:lastRenderedPageBreak/>
        <w:t>There was one note highlight in green says that ‘</w:t>
      </w:r>
      <w:r w:rsidRPr="00581474">
        <w:rPr>
          <w:rFonts w:eastAsia="等线"/>
          <w:lang w:eastAsia="zh-CN"/>
        </w:rPr>
        <w:t>S-SSB indicated by sl-AbsoluteFrequencySSB-r16 locates</w:t>
      </w:r>
      <w:r>
        <w:rPr>
          <w:rFonts w:eastAsia="等线"/>
          <w:lang w:eastAsia="zh-CN"/>
        </w:rPr>
        <w:t xml:space="preserve">’. It can be observed that in RAN1’s S-SSB frequency location assumption, it still follows the absolute frequency indication in rel-16. Therefore, we suggest to </w:t>
      </w:r>
      <w:bookmarkStart w:id="7" w:name="_Hlk142474432"/>
      <w:r>
        <w:rPr>
          <w:rFonts w:eastAsia="等线"/>
          <w:lang w:eastAsia="zh-CN"/>
        </w:rPr>
        <w:t>follow the same rule in Rel-16 and not define the sync raster for SL-U operating bands.</w:t>
      </w:r>
    </w:p>
    <w:p w14:paraId="4D43967D" w14:textId="5D198E18" w:rsidR="00581474" w:rsidRPr="00581474" w:rsidRDefault="00581474" w:rsidP="00982525">
      <w:pPr>
        <w:jc w:val="both"/>
        <w:rPr>
          <w:rFonts w:eastAsia="等线"/>
          <w:b/>
          <w:lang w:eastAsia="zh-CN"/>
        </w:rPr>
      </w:pPr>
      <w:bookmarkStart w:id="8" w:name="_Hlk142474462"/>
      <w:bookmarkEnd w:id="7"/>
      <w:r w:rsidRPr="00581474">
        <w:rPr>
          <w:rFonts w:eastAsia="等线" w:hint="eastAsia"/>
          <w:b/>
          <w:lang w:eastAsia="zh-CN"/>
        </w:rPr>
        <w:t>Pr</w:t>
      </w:r>
      <w:r w:rsidRPr="00581474">
        <w:rPr>
          <w:rFonts w:eastAsia="等线"/>
          <w:b/>
          <w:lang w:eastAsia="zh-CN"/>
        </w:rPr>
        <w:t>oposal 1: Follow the same rule in Rel-16 and do not define the sync raster for SL-U operating bands.</w:t>
      </w:r>
    </w:p>
    <w:bookmarkEnd w:id="8"/>
    <w:p w14:paraId="5C522425" w14:textId="22FD1955" w:rsidR="005F2AA3" w:rsidRDefault="005F2AA3" w:rsidP="005F2AA3">
      <w:pPr>
        <w:jc w:val="both"/>
        <w:rPr>
          <w:rFonts w:eastAsia="等线"/>
          <w:lang w:val="en-US" w:eastAsia="zh-CN"/>
        </w:rPr>
      </w:pPr>
      <w:r>
        <w:rPr>
          <w:rFonts w:eastAsia="等线"/>
          <w:lang w:val="en-US" w:eastAsia="zh-CN"/>
        </w:rPr>
        <w:t>In RAN4#106bis-e, there was discussion on wideband operation and intra-cell guard bands definition. I</w:t>
      </w:r>
      <w:r w:rsidR="00982525">
        <w:rPr>
          <w:rFonts w:eastAsia="等线"/>
          <w:lang w:val="en-US" w:eastAsia="zh-CN"/>
        </w:rPr>
        <w:t xml:space="preserve">t was agreed to reuse the NR-U requirements for wideband operation and intra-cell guard bands. However, whether to introduce the new IEs </w:t>
      </w:r>
      <w:proofErr w:type="spellStart"/>
      <w:r w:rsidR="00982525" w:rsidRPr="00151650">
        <w:rPr>
          <w:rFonts w:eastAsia="等线"/>
          <w:lang w:val="en-US" w:eastAsia="zh-CN"/>
        </w:rPr>
        <w:t>intraCellGuardBandsSLTX</w:t>
      </w:r>
      <w:proofErr w:type="spellEnd"/>
      <w:r w:rsidR="00982525" w:rsidRPr="00151650">
        <w:rPr>
          <w:rFonts w:eastAsia="等线"/>
          <w:lang w:val="en-US" w:eastAsia="zh-CN"/>
        </w:rPr>
        <w:t xml:space="preserve">-List and </w:t>
      </w:r>
      <w:proofErr w:type="spellStart"/>
      <w:r w:rsidR="00982525" w:rsidRPr="00151650">
        <w:rPr>
          <w:rFonts w:eastAsia="等线"/>
          <w:lang w:val="en-US" w:eastAsia="zh-CN"/>
        </w:rPr>
        <w:t>intraCellGuardBandsSLRX</w:t>
      </w:r>
      <w:proofErr w:type="spellEnd"/>
      <w:r w:rsidR="00982525" w:rsidRPr="00151650">
        <w:rPr>
          <w:rFonts w:eastAsia="等线"/>
          <w:lang w:val="en-US" w:eastAsia="zh-CN"/>
        </w:rPr>
        <w:t>-List</w:t>
      </w:r>
      <w:r w:rsidR="00982525">
        <w:rPr>
          <w:rFonts w:eastAsia="等线"/>
          <w:lang w:val="en-US" w:eastAsia="zh-CN"/>
        </w:rPr>
        <w:t xml:space="preserve"> needs further study for SL-U</w:t>
      </w:r>
      <w:r>
        <w:rPr>
          <w:rFonts w:eastAsia="等线"/>
          <w:lang w:val="en-US" w:eastAsia="zh-CN"/>
        </w:rPr>
        <w:t xml:space="preserve"> [3]</w:t>
      </w:r>
      <w:r w:rsidR="00982525">
        <w:rPr>
          <w:rFonts w:eastAsia="等线"/>
          <w:lang w:val="en-US" w:eastAsia="zh-CN"/>
        </w:rPr>
        <w:t xml:space="preserve">. </w:t>
      </w:r>
    </w:p>
    <w:p w14:paraId="79A6BFDC" w14:textId="7CC2E82E" w:rsidR="00982525" w:rsidRPr="005F2AA3" w:rsidRDefault="00982525" w:rsidP="005F2AA3">
      <w:pPr>
        <w:jc w:val="both"/>
        <w:rPr>
          <w:b/>
          <w:u w:val="single"/>
          <w:lang w:eastAsia="ko-KR"/>
        </w:rPr>
      </w:pPr>
      <w:r w:rsidRPr="005F2AA3">
        <w:rPr>
          <w:b/>
          <w:u w:val="single"/>
          <w:lang w:eastAsia="ko-KR"/>
        </w:rPr>
        <w:t>Issue 2-6-1: Wideband operation and Intra-cell guard bands definition</w:t>
      </w:r>
    </w:p>
    <w:p w14:paraId="0D1B50A3" w14:textId="77777777" w:rsidR="00982525" w:rsidRPr="005F2AA3" w:rsidRDefault="00982525" w:rsidP="00982525">
      <w:pPr>
        <w:pStyle w:val="afff4"/>
        <w:numPr>
          <w:ilvl w:val="0"/>
          <w:numId w:val="30"/>
        </w:numPr>
        <w:overflowPunct/>
        <w:autoSpaceDE/>
        <w:adjustRightInd/>
        <w:spacing w:after="120"/>
        <w:ind w:left="720" w:firstLineChars="0"/>
        <w:rPr>
          <w:rFonts w:eastAsia="宋体"/>
          <w:szCs w:val="24"/>
        </w:rPr>
      </w:pPr>
      <w:r w:rsidRPr="005F2AA3">
        <w:rPr>
          <w:rFonts w:eastAsia="宋体"/>
          <w:szCs w:val="24"/>
        </w:rPr>
        <w:t xml:space="preserve">Proposals: </w:t>
      </w:r>
    </w:p>
    <w:p w14:paraId="6BF13E7A" w14:textId="77777777" w:rsidR="00982525" w:rsidRPr="005F2AA3" w:rsidRDefault="00982525" w:rsidP="00982525">
      <w:pPr>
        <w:pStyle w:val="afff4"/>
        <w:numPr>
          <w:ilvl w:val="1"/>
          <w:numId w:val="30"/>
        </w:numPr>
        <w:overflowPunct/>
        <w:autoSpaceDE/>
        <w:adjustRightInd/>
        <w:spacing w:after="120"/>
        <w:ind w:firstLineChars="0"/>
        <w:rPr>
          <w:rFonts w:eastAsia="宋体"/>
          <w:szCs w:val="24"/>
        </w:rPr>
      </w:pPr>
      <w:r w:rsidRPr="005F2AA3">
        <w:rPr>
          <w:rFonts w:eastAsia="宋体"/>
          <w:szCs w:val="24"/>
        </w:rPr>
        <w:t xml:space="preserve">Option 1: Reuse the NR-U requirements for wideband operation and Intra-cell guard bands in 38.101-1 clause 5.3.3 for NR SL-U. </w:t>
      </w:r>
    </w:p>
    <w:p w14:paraId="20F6B02E" w14:textId="77777777" w:rsidR="00982525" w:rsidRPr="005F2AA3" w:rsidRDefault="00982525" w:rsidP="00982525">
      <w:pPr>
        <w:pStyle w:val="afff4"/>
        <w:numPr>
          <w:ilvl w:val="1"/>
          <w:numId w:val="30"/>
        </w:numPr>
        <w:overflowPunct/>
        <w:autoSpaceDE/>
        <w:adjustRightInd/>
        <w:spacing w:after="120"/>
        <w:ind w:firstLineChars="0"/>
        <w:rPr>
          <w:rFonts w:eastAsia="宋体"/>
          <w:szCs w:val="24"/>
        </w:rPr>
      </w:pPr>
      <w:r w:rsidRPr="005F2AA3">
        <w:rPr>
          <w:rFonts w:eastAsia="宋体"/>
          <w:szCs w:val="24"/>
        </w:rPr>
        <w:t xml:space="preserve">Option 2: In SL-U, </w:t>
      </w:r>
      <w:proofErr w:type="spellStart"/>
      <w:r w:rsidRPr="005F2AA3">
        <w:rPr>
          <w:rFonts w:eastAsia="宋体"/>
          <w:i/>
          <w:szCs w:val="24"/>
        </w:rPr>
        <w:t>intraCellGuardBands</w:t>
      </w:r>
      <w:r w:rsidRPr="005F2AA3">
        <w:rPr>
          <w:rFonts w:eastAsia="宋体"/>
          <w:i/>
          <w:szCs w:val="24"/>
          <w:highlight w:val="yellow"/>
        </w:rPr>
        <w:t>SL</w:t>
      </w:r>
      <w:r w:rsidRPr="005F2AA3">
        <w:rPr>
          <w:rFonts w:eastAsia="宋体"/>
          <w:i/>
          <w:szCs w:val="24"/>
        </w:rPr>
        <w:t>TX</w:t>
      </w:r>
      <w:proofErr w:type="spellEnd"/>
      <w:r w:rsidRPr="005F2AA3">
        <w:rPr>
          <w:rFonts w:eastAsia="宋体"/>
          <w:i/>
          <w:szCs w:val="24"/>
        </w:rPr>
        <w:t>-List</w:t>
      </w:r>
      <w:r w:rsidRPr="005F2AA3">
        <w:rPr>
          <w:rFonts w:eastAsia="宋体"/>
          <w:szCs w:val="24"/>
        </w:rPr>
        <w:t xml:space="preserve"> and </w:t>
      </w:r>
      <w:proofErr w:type="spellStart"/>
      <w:r w:rsidRPr="005F2AA3">
        <w:rPr>
          <w:rFonts w:eastAsia="宋体"/>
          <w:i/>
          <w:szCs w:val="24"/>
        </w:rPr>
        <w:t>intraCellGuardBands</w:t>
      </w:r>
      <w:r w:rsidRPr="005F2AA3">
        <w:rPr>
          <w:rFonts w:eastAsia="宋体"/>
          <w:i/>
          <w:szCs w:val="24"/>
          <w:highlight w:val="yellow"/>
        </w:rPr>
        <w:t>SL</w:t>
      </w:r>
      <w:r w:rsidRPr="005F2AA3">
        <w:rPr>
          <w:rFonts w:eastAsia="宋体"/>
          <w:i/>
          <w:szCs w:val="24"/>
        </w:rPr>
        <w:t>RX</w:t>
      </w:r>
      <w:proofErr w:type="spellEnd"/>
      <w:r w:rsidRPr="005F2AA3">
        <w:rPr>
          <w:rFonts w:eastAsia="宋体"/>
          <w:i/>
          <w:szCs w:val="24"/>
        </w:rPr>
        <w:t>-List</w:t>
      </w:r>
      <w:r w:rsidRPr="005F2AA3">
        <w:rPr>
          <w:rFonts w:eastAsia="宋体"/>
          <w:szCs w:val="24"/>
        </w:rPr>
        <w:t xml:space="preserve"> can be introduced.</w:t>
      </w:r>
    </w:p>
    <w:p w14:paraId="32D190E1" w14:textId="77777777" w:rsidR="00982525" w:rsidRDefault="00982525" w:rsidP="00982525">
      <w:pPr>
        <w:spacing w:afterLines="50" w:after="120"/>
        <w:rPr>
          <w:rFonts w:eastAsiaTheme="minorEastAsia"/>
          <w:b/>
          <w:lang w:eastAsia="zh-CN"/>
        </w:rPr>
      </w:pPr>
      <w:bookmarkStart w:id="9" w:name="_Hlk132980865"/>
      <w:r>
        <w:rPr>
          <w:b/>
          <w:lang w:eastAsia="zh-CN"/>
        </w:rPr>
        <w:t>Way forward:</w:t>
      </w:r>
      <w:bookmarkStart w:id="10" w:name="_GoBack"/>
      <w:bookmarkEnd w:id="10"/>
    </w:p>
    <w:bookmarkEnd w:id="9"/>
    <w:p w14:paraId="2CAFDC1C" w14:textId="77777777" w:rsidR="00982525" w:rsidRDefault="00982525" w:rsidP="00982525">
      <w:pPr>
        <w:pStyle w:val="afff4"/>
        <w:numPr>
          <w:ilvl w:val="1"/>
          <w:numId w:val="30"/>
        </w:numPr>
        <w:overflowPunct/>
        <w:autoSpaceDE/>
        <w:adjustRightInd/>
        <w:spacing w:after="120"/>
        <w:ind w:firstLineChars="0"/>
        <w:rPr>
          <w:rFonts w:eastAsia="宋体"/>
          <w:szCs w:val="24"/>
        </w:rPr>
      </w:pPr>
      <w:r>
        <w:rPr>
          <w:rFonts w:eastAsia="宋体"/>
          <w:szCs w:val="24"/>
        </w:rPr>
        <w:t>Option 1 is agreed.</w:t>
      </w:r>
    </w:p>
    <w:p w14:paraId="719BE5E0" w14:textId="291D056E" w:rsidR="00982525" w:rsidRDefault="00982525" w:rsidP="00744680">
      <w:pPr>
        <w:pStyle w:val="afff4"/>
        <w:numPr>
          <w:ilvl w:val="1"/>
          <w:numId w:val="30"/>
        </w:numPr>
        <w:overflowPunct/>
        <w:autoSpaceDE/>
        <w:adjustRightInd/>
        <w:spacing w:before="100" w:beforeAutospacing="1" w:after="120"/>
        <w:ind w:left="1655" w:firstLineChars="0" w:hanging="357"/>
        <w:rPr>
          <w:rFonts w:eastAsia="宋体"/>
          <w:szCs w:val="24"/>
        </w:rPr>
      </w:pPr>
      <w:r>
        <w:rPr>
          <w:rFonts w:eastAsia="宋体"/>
          <w:szCs w:val="24"/>
        </w:rPr>
        <w:t>FFS on Option 2</w:t>
      </w:r>
    </w:p>
    <w:p w14:paraId="59660408" w14:textId="37A62AC0" w:rsidR="005F2AA3" w:rsidRPr="005F2AA3" w:rsidRDefault="005F2AA3" w:rsidP="005F2AA3">
      <w:pPr>
        <w:overflowPunct/>
        <w:autoSpaceDE/>
        <w:adjustRightInd/>
        <w:spacing w:before="100" w:beforeAutospacing="1" w:after="120"/>
        <w:rPr>
          <w:rFonts w:eastAsia="宋体"/>
          <w:szCs w:val="24"/>
        </w:rPr>
      </w:pPr>
      <w:r w:rsidRPr="005F2AA3">
        <w:rPr>
          <w:rFonts w:eastAsia="宋体"/>
          <w:szCs w:val="24"/>
        </w:rPr>
        <w:t>Currently, RAN4 defined the default pattern for wideband operation for bandwidths larger than 20MHz as in Table 5.3.3-2.</w:t>
      </w:r>
    </w:p>
    <w:p w14:paraId="1F761657" w14:textId="77777777" w:rsidR="00982525" w:rsidRPr="00BA0C02" w:rsidRDefault="00982525" w:rsidP="00982525">
      <w:pPr>
        <w:keepNext/>
        <w:keepLines/>
        <w:overflowPunct/>
        <w:autoSpaceDE/>
        <w:autoSpaceDN/>
        <w:adjustRightInd/>
        <w:spacing w:before="60"/>
        <w:jc w:val="center"/>
        <w:textAlignment w:val="auto"/>
        <w:rPr>
          <w:rFonts w:ascii="Arial" w:hAnsi="Arial"/>
          <w:b/>
        </w:rPr>
      </w:pPr>
      <w:r w:rsidRPr="00BA0C02">
        <w:rPr>
          <w:rFonts w:ascii="Arial" w:hAnsi="Arial"/>
          <w:b/>
        </w:rPr>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982525" w:rsidRPr="00BA0C02" w14:paraId="4C075CD4" w14:textId="77777777" w:rsidTr="00A97140">
        <w:trPr>
          <w:jc w:val="center"/>
        </w:trPr>
        <w:tc>
          <w:tcPr>
            <w:tcW w:w="846" w:type="dxa"/>
            <w:tcBorders>
              <w:top w:val="single" w:sz="4" w:space="0" w:color="auto"/>
              <w:left w:val="single" w:sz="4" w:space="0" w:color="auto"/>
              <w:bottom w:val="single" w:sz="4" w:space="0" w:color="auto"/>
              <w:right w:val="single" w:sz="4" w:space="0" w:color="auto"/>
            </w:tcBorders>
            <w:hideMark/>
          </w:tcPr>
          <w:p w14:paraId="1043BAC9" w14:textId="77777777" w:rsidR="00982525" w:rsidRPr="00BA0C02" w:rsidRDefault="00982525" w:rsidP="00A97140">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SCS</w:t>
            </w:r>
          </w:p>
          <w:p w14:paraId="116166D2" w14:textId="77777777" w:rsidR="00982525" w:rsidRPr="00BA0C02" w:rsidRDefault="00982525" w:rsidP="00A97140">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60B249CC" w14:textId="77777777" w:rsidR="00982525" w:rsidRPr="00BA0C02" w:rsidRDefault="00982525" w:rsidP="00A97140">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2C60A33" w14:textId="77777777" w:rsidR="00982525" w:rsidRPr="00BA0C02" w:rsidRDefault="00982525" w:rsidP="00A97140">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7282205D" w14:textId="77777777" w:rsidR="00982525" w:rsidRPr="00BA0C02" w:rsidRDefault="00982525" w:rsidP="00A97140">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052087D3" w14:textId="77777777" w:rsidR="00982525" w:rsidRPr="00BA0C02" w:rsidRDefault="00982525" w:rsidP="00A97140">
            <w:pPr>
              <w:keepNext/>
              <w:keepLines/>
              <w:overflowPunct/>
              <w:autoSpaceDE/>
              <w:autoSpaceDN/>
              <w:adjustRightInd/>
              <w:spacing w:after="0"/>
              <w:jc w:val="center"/>
              <w:textAlignment w:val="auto"/>
              <w:rPr>
                <w:rFonts w:ascii="Arial" w:hAnsi="Arial" w:cs="Arial"/>
                <w:b/>
                <w:sz w:val="18"/>
                <w:lang w:val="en-US" w:eastAsia="en-GB"/>
              </w:rPr>
            </w:pPr>
            <w:r w:rsidRPr="00BA0C02">
              <w:rPr>
                <w:rFonts w:ascii="Arial" w:hAnsi="Arial" w:cs="Arial"/>
                <w:b/>
                <w:sz w:val="18"/>
                <w:lang w:val="en-US" w:eastAsia="en-GB"/>
              </w:rPr>
              <w:t>100 MHz</w:t>
            </w:r>
          </w:p>
        </w:tc>
      </w:tr>
      <w:tr w:rsidR="00982525" w:rsidRPr="00BA0C02" w14:paraId="09894C6D" w14:textId="77777777" w:rsidTr="00A97140">
        <w:trPr>
          <w:jc w:val="center"/>
        </w:trPr>
        <w:tc>
          <w:tcPr>
            <w:tcW w:w="846" w:type="dxa"/>
            <w:tcBorders>
              <w:top w:val="single" w:sz="4" w:space="0" w:color="auto"/>
              <w:left w:val="single" w:sz="4" w:space="0" w:color="auto"/>
              <w:bottom w:val="single" w:sz="4" w:space="0" w:color="auto"/>
              <w:right w:val="single" w:sz="4" w:space="0" w:color="auto"/>
            </w:tcBorders>
            <w:hideMark/>
          </w:tcPr>
          <w:p w14:paraId="51810D2D"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5EE36138"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105-6-105</w:t>
            </w:r>
          </w:p>
          <w:p w14:paraId="5415946F"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AEC4029"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34665CEE"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N/A</w:t>
            </w:r>
          </w:p>
        </w:tc>
        <w:tc>
          <w:tcPr>
            <w:tcW w:w="2270" w:type="dxa"/>
          </w:tcPr>
          <w:p w14:paraId="5607EFD9"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szCs w:val="18"/>
                <w:lang w:val="en-US" w:eastAsia="en-GB"/>
              </w:rPr>
            </w:pPr>
            <w:r w:rsidRPr="00BA0C02">
              <w:rPr>
                <w:rFonts w:ascii="Arial" w:hAnsi="Arial" w:cs="Arial"/>
                <w:sz w:val="18"/>
                <w:szCs w:val="18"/>
              </w:rPr>
              <w:t>N/A</w:t>
            </w:r>
          </w:p>
        </w:tc>
      </w:tr>
      <w:tr w:rsidR="00982525" w:rsidRPr="00BA0C02" w14:paraId="32E9676C" w14:textId="77777777" w:rsidTr="00A97140">
        <w:trPr>
          <w:jc w:val="center"/>
        </w:trPr>
        <w:tc>
          <w:tcPr>
            <w:tcW w:w="846" w:type="dxa"/>
            <w:tcBorders>
              <w:top w:val="single" w:sz="4" w:space="0" w:color="auto"/>
              <w:left w:val="single" w:sz="4" w:space="0" w:color="auto"/>
              <w:bottom w:val="single" w:sz="4" w:space="0" w:color="auto"/>
              <w:right w:val="single" w:sz="4" w:space="0" w:color="auto"/>
            </w:tcBorders>
            <w:hideMark/>
          </w:tcPr>
          <w:p w14:paraId="734596FC"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4FBE33E3"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50-6-50</w:t>
            </w:r>
          </w:p>
          <w:p w14:paraId="4ED96C7F"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06242699"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50-6-50-6-50</w:t>
            </w:r>
          </w:p>
          <w:p w14:paraId="33E9629F"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1B793997"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50-6-50-5-50-6-50</w:t>
            </w:r>
          </w:p>
          <w:p w14:paraId="14A328CE"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(217)</w:t>
            </w:r>
          </w:p>
        </w:tc>
        <w:tc>
          <w:tcPr>
            <w:tcW w:w="2270" w:type="dxa"/>
          </w:tcPr>
          <w:p w14:paraId="52611D3C" w14:textId="77777777" w:rsidR="00982525" w:rsidRPr="00BA0C02" w:rsidRDefault="00982525" w:rsidP="00A97140">
            <w:pPr>
              <w:keepNext/>
              <w:keepLines/>
              <w:numPr>
                <w:ilvl w:val="0"/>
                <w:numId w:val="27"/>
              </w:numPr>
              <w:overflowPunct/>
              <w:autoSpaceDE/>
              <w:autoSpaceDN/>
              <w:adjustRightInd/>
              <w:spacing w:after="0"/>
              <w:ind w:left="0" w:firstLine="0"/>
              <w:jc w:val="center"/>
              <w:textAlignment w:val="auto"/>
              <w:rPr>
                <w:rFonts w:ascii="Arial" w:hAnsi="Arial" w:cs="Arial"/>
                <w:sz w:val="18"/>
                <w:szCs w:val="18"/>
              </w:rPr>
            </w:pPr>
            <w:r w:rsidRPr="00BA0C02">
              <w:rPr>
                <w:rFonts w:ascii="Arial" w:hAnsi="Arial" w:cs="Arial"/>
                <w:sz w:val="18"/>
                <w:szCs w:val="18"/>
              </w:rPr>
              <w:t>50-6-50-6-49-6-50-6-50</w:t>
            </w:r>
          </w:p>
          <w:p w14:paraId="72AB5BB0"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szCs w:val="18"/>
                <w:lang w:val="en-US" w:eastAsia="en-GB"/>
              </w:rPr>
            </w:pPr>
            <w:r w:rsidRPr="00BA0C02">
              <w:rPr>
                <w:rFonts w:ascii="Arial" w:hAnsi="Arial" w:cs="Arial"/>
                <w:sz w:val="18"/>
                <w:szCs w:val="18"/>
              </w:rPr>
              <w:t>(273)</w:t>
            </w:r>
          </w:p>
        </w:tc>
      </w:tr>
      <w:tr w:rsidR="00982525" w:rsidRPr="00BA0C02" w14:paraId="4D30DD60" w14:textId="77777777" w:rsidTr="00A97140">
        <w:trPr>
          <w:jc w:val="center"/>
        </w:trPr>
        <w:tc>
          <w:tcPr>
            <w:tcW w:w="846" w:type="dxa"/>
            <w:tcBorders>
              <w:top w:val="single" w:sz="4" w:space="0" w:color="auto"/>
              <w:left w:val="single" w:sz="4" w:space="0" w:color="auto"/>
              <w:bottom w:val="single" w:sz="4" w:space="0" w:color="auto"/>
              <w:right w:val="single" w:sz="4" w:space="0" w:color="auto"/>
            </w:tcBorders>
            <w:hideMark/>
          </w:tcPr>
          <w:p w14:paraId="3F317712"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67B1C966"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23-5-23</w:t>
            </w:r>
          </w:p>
          <w:p w14:paraId="2A88426C"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868E015"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23-5-23-5-23</w:t>
            </w:r>
          </w:p>
          <w:p w14:paraId="7A695DF7"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3746D2DA"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23-5-23-5-23-5-23</w:t>
            </w:r>
          </w:p>
          <w:p w14:paraId="3313D46E"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lang w:val="en-US" w:eastAsia="en-GB"/>
              </w:rPr>
            </w:pPr>
            <w:r w:rsidRPr="00BA0C02">
              <w:rPr>
                <w:rFonts w:ascii="Arial" w:hAnsi="Arial" w:cs="Arial"/>
                <w:sz w:val="18"/>
                <w:lang w:val="en-US" w:eastAsia="en-GB"/>
              </w:rPr>
              <w:t>(107)</w:t>
            </w:r>
          </w:p>
        </w:tc>
        <w:tc>
          <w:tcPr>
            <w:tcW w:w="2270" w:type="dxa"/>
          </w:tcPr>
          <w:p w14:paraId="1AC954A2" w14:textId="77777777" w:rsidR="00982525" w:rsidRPr="00BA0C02" w:rsidRDefault="00982525" w:rsidP="00A97140">
            <w:pPr>
              <w:keepNext/>
              <w:keepLines/>
              <w:numPr>
                <w:ilvl w:val="0"/>
                <w:numId w:val="27"/>
              </w:numPr>
              <w:overflowPunct/>
              <w:autoSpaceDE/>
              <w:autoSpaceDN/>
              <w:adjustRightInd/>
              <w:spacing w:after="0"/>
              <w:ind w:left="0" w:firstLine="0"/>
              <w:jc w:val="center"/>
              <w:textAlignment w:val="auto"/>
              <w:rPr>
                <w:rFonts w:ascii="Arial" w:hAnsi="Arial" w:cs="Arial"/>
                <w:sz w:val="18"/>
                <w:szCs w:val="18"/>
              </w:rPr>
            </w:pPr>
            <w:r w:rsidRPr="00BA0C02">
              <w:rPr>
                <w:rFonts w:ascii="Arial" w:hAnsi="Arial" w:cs="Arial"/>
                <w:sz w:val="18"/>
                <w:szCs w:val="18"/>
              </w:rPr>
              <w:t>23-5-23-5-23-5-23-5-23</w:t>
            </w:r>
          </w:p>
          <w:p w14:paraId="38C08812" w14:textId="77777777" w:rsidR="00982525" w:rsidRPr="00BA0C02" w:rsidRDefault="00982525" w:rsidP="00A97140">
            <w:pPr>
              <w:keepNext/>
              <w:keepLines/>
              <w:overflowPunct/>
              <w:autoSpaceDE/>
              <w:autoSpaceDN/>
              <w:adjustRightInd/>
              <w:spacing w:after="0"/>
              <w:jc w:val="center"/>
              <w:textAlignment w:val="auto"/>
              <w:rPr>
                <w:rFonts w:ascii="Arial" w:hAnsi="Arial" w:cs="Arial"/>
                <w:sz w:val="18"/>
                <w:szCs w:val="18"/>
                <w:lang w:val="en-US" w:eastAsia="en-GB"/>
              </w:rPr>
            </w:pPr>
            <w:r w:rsidRPr="00BA0C02">
              <w:rPr>
                <w:rFonts w:ascii="Arial" w:hAnsi="Arial" w:cs="Arial"/>
                <w:sz w:val="18"/>
                <w:szCs w:val="18"/>
              </w:rPr>
              <w:t>(135)</w:t>
            </w:r>
          </w:p>
        </w:tc>
      </w:tr>
      <w:tr w:rsidR="00982525" w:rsidRPr="00BA0C02" w14:paraId="109E0D9B" w14:textId="77777777" w:rsidTr="00A97140">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6A9869C" w14:textId="77777777" w:rsidR="00982525" w:rsidRPr="00BA0C02" w:rsidRDefault="00982525" w:rsidP="00A97140">
            <w:pPr>
              <w:keepNext/>
              <w:keepLines/>
              <w:overflowPunct/>
              <w:autoSpaceDE/>
              <w:autoSpaceDN/>
              <w:adjustRightInd/>
              <w:spacing w:after="0"/>
              <w:ind w:left="851" w:hanging="851"/>
              <w:textAlignment w:val="auto"/>
              <w:rPr>
                <w:rFonts w:ascii="Arial" w:hAnsi="Arial" w:cs="Arial"/>
                <w:sz w:val="18"/>
                <w:lang w:val="en-US" w:eastAsia="en-GB"/>
              </w:rPr>
            </w:pPr>
            <w:r w:rsidRPr="00BA0C02">
              <w:rPr>
                <w:rFonts w:ascii="Arial" w:hAnsi="Arial" w:cs="Arial"/>
                <w:sz w:val="18"/>
                <w:lang w:val="en-US" w:eastAsia="en-GB"/>
              </w:rPr>
              <w:t>NOTE 1:</w:t>
            </w:r>
            <w:r w:rsidRPr="00BA0C02">
              <w:rPr>
                <w:rFonts w:ascii="Arial" w:hAnsi="Arial" w:cs="Arial"/>
                <w:sz w:val="18"/>
                <w:lang w:val="en-US" w:eastAsia="en-GB"/>
              </w:rPr>
              <w:tab/>
              <w:t>The intra-cell guard band is denoted TBW</w:t>
            </w:r>
            <w:r w:rsidRPr="00BA0C02">
              <w:rPr>
                <w:rFonts w:ascii="Arial" w:hAnsi="Arial" w:cs="Arial"/>
                <w:sz w:val="18"/>
                <w:vertAlign w:val="subscript"/>
                <w:lang w:val="en-US" w:eastAsia="en-GB"/>
              </w:rPr>
              <w:t>0</w:t>
            </w:r>
            <w:r w:rsidRPr="00BA0C02">
              <w:rPr>
                <w:rFonts w:ascii="Arial" w:hAnsi="Arial" w:cs="Arial"/>
                <w:sz w:val="18"/>
                <w:lang w:val="en-US" w:eastAsia="en-GB"/>
              </w:rPr>
              <w:t>-GB</w:t>
            </w:r>
            <w:r w:rsidRPr="00BA0C02">
              <w:rPr>
                <w:rFonts w:ascii="Arial" w:hAnsi="Arial" w:cs="Arial"/>
                <w:sz w:val="18"/>
                <w:vertAlign w:val="subscript"/>
                <w:lang w:val="en-US" w:eastAsia="en-GB"/>
              </w:rPr>
              <w:t>0</w:t>
            </w:r>
            <w:r w:rsidRPr="00BA0C02">
              <w:rPr>
                <w:rFonts w:ascii="Arial" w:hAnsi="Arial" w:cs="Arial"/>
                <w:sz w:val="18"/>
                <w:lang w:val="en-US" w:eastAsia="en-GB"/>
              </w:rPr>
              <w:t>-…-GB</w:t>
            </w:r>
            <w:r w:rsidRPr="00BA0C02">
              <w:rPr>
                <w:rFonts w:ascii="Arial" w:hAnsi="Arial" w:cs="Arial"/>
                <w:sz w:val="18"/>
                <w:vertAlign w:val="subscript"/>
                <w:lang w:val="en-US" w:eastAsia="en-GB"/>
              </w:rPr>
              <w:t>N_RBset-2</w:t>
            </w:r>
            <w:r w:rsidRPr="00BA0C02">
              <w:rPr>
                <w:rFonts w:ascii="Arial" w:hAnsi="Arial" w:cs="Arial"/>
                <w:sz w:val="18"/>
                <w:lang w:val="en-US" w:eastAsia="en-GB"/>
              </w:rPr>
              <w:t>-TBW</w:t>
            </w:r>
            <w:r w:rsidRPr="00BA0C02">
              <w:rPr>
                <w:rFonts w:ascii="Arial" w:hAnsi="Arial" w:cs="Arial"/>
                <w:sz w:val="18"/>
                <w:vertAlign w:val="subscript"/>
                <w:lang w:val="en-US" w:eastAsia="en-GB"/>
              </w:rPr>
              <w:t xml:space="preserve">N_RBset-1 </w:t>
            </w:r>
            <w:r w:rsidRPr="00BA0C02">
              <w:rPr>
                <w:rFonts w:ascii="Arial" w:hAnsi="Arial" w:cs="Arial"/>
                <w:sz w:val="18"/>
                <w:lang w:val="en-US" w:eastAsia="en-GB"/>
              </w:rPr>
              <w:t xml:space="preserve">for </w:t>
            </w:r>
            <w:proofErr w:type="spellStart"/>
            <w:r w:rsidRPr="00BA0C02">
              <w:rPr>
                <w:rFonts w:ascii="Arial" w:hAnsi="Arial" w:cs="Arial"/>
                <w:sz w:val="18"/>
                <w:lang w:val="en-US" w:eastAsia="en-GB"/>
              </w:rPr>
              <w:t>N_RBset</w:t>
            </w:r>
            <w:proofErr w:type="spellEnd"/>
            <w:r w:rsidRPr="00BA0C02">
              <w:rPr>
                <w:rFonts w:ascii="Arial" w:hAnsi="Arial" w:cs="Arial"/>
                <w:sz w:val="18"/>
                <w:lang w:val="en-US" w:eastAsia="en-GB"/>
              </w:rPr>
              <w:t xml:space="preserve"> &gt; 1 number of RB-sets with </w:t>
            </w:r>
            <w:proofErr w:type="spellStart"/>
            <w:r w:rsidRPr="00BA0C02">
              <w:rPr>
                <w:rFonts w:ascii="Arial" w:hAnsi="Arial" w:cs="Arial"/>
                <w:sz w:val="18"/>
                <w:lang w:val="en-US" w:eastAsia="en-GB"/>
              </w:rPr>
              <w:t>TBW</w:t>
            </w:r>
            <w:r w:rsidRPr="00BA0C02">
              <w:rPr>
                <w:rFonts w:ascii="Arial" w:hAnsi="Arial" w:cs="Arial"/>
                <w:i/>
                <w:iCs/>
                <w:sz w:val="18"/>
                <w:vertAlign w:val="subscript"/>
                <w:lang w:val="en-US" w:eastAsia="en-GB"/>
              </w:rPr>
              <w:t>r</w:t>
            </w:r>
            <w:proofErr w:type="spellEnd"/>
            <w:r w:rsidRPr="00BA0C02">
              <w:rPr>
                <w:rFonts w:ascii="Arial" w:hAnsi="Arial" w:cs="Arial"/>
                <w:i/>
                <w:iCs/>
                <w:sz w:val="18"/>
                <w:lang w:val="en-US" w:eastAsia="en-GB"/>
              </w:rPr>
              <w:t xml:space="preserve"> </w:t>
            </w:r>
            <w:r w:rsidRPr="00BA0C02">
              <w:rPr>
                <w:rFonts w:ascii="Arial" w:hAnsi="Arial" w:cs="Arial"/>
                <w:sz w:val="18"/>
                <w:lang w:val="en-US" w:eastAsia="en-GB"/>
              </w:rPr>
              <w:t xml:space="preserve">the maximum transmission bandwidth (PRB) of RB-set </w:t>
            </w:r>
            <w:r w:rsidRPr="00BA0C02">
              <w:rPr>
                <w:rFonts w:ascii="Arial" w:hAnsi="Arial" w:cs="Arial"/>
                <w:i/>
                <w:iCs/>
                <w:sz w:val="18"/>
                <w:lang w:val="en-US" w:eastAsia="en-GB"/>
              </w:rPr>
              <w:t>r</w:t>
            </w:r>
            <w:r w:rsidRPr="00BA0C02">
              <w:rPr>
                <w:rFonts w:ascii="Arial" w:hAnsi="Arial" w:cs="Arial"/>
                <w:sz w:val="18"/>
                <w:lang w:val="en-US" w:eastAsia="en-GB"/>
              </w:rPr>
              <w:t xml:space="preserve"> and </w:t>
            </w:r>
            <w:proofErr w:type="spellStart"/>
            <w:r w:rsidRPr="00BA0C02">
              <w:rPr>
                <w:rFonts w:ascii="Arial" w:hAnsi="Arial" w:cs="Arial"/>
                <w:sz w:val="18"/>
                <w:lang w:val="en-US" w:eastAsia="en-GB"/>
              </w:rPr>
              <w:t>GB</w:t>
            </w:r>
            <w:r w:rsidRPr="00BA0C02">
              <w:rPr>
                <w:rFonts w:ascii="Arial" w:hAnsi="Arial" w:cs="Arial"/>
                <w:i/>
                <w:iCs/>
                <w:sz w:val="18"/>
                <w:vertAlign w:val="subscript"/>
                <w:lang w:val="en-US" w:eastAsia="en-GB"/>
              </w:rPr>
              <w:t>r</w:t>
            </w:r>
            <w:proofErr w:type="spellEnd"/>
            <w:r w:rsidRPr="00BA0C02">
              <w:rPr>
                <w:rFonts w:ascii="Arial" w:hAnsi="Arial" w:cs="Arial"/>
                <w:sz w:val="18"/>
                <w:lang w:val="en-US" w:eastAsia="en-GB"/>
              </w:rPr>
              <w:t xml:space="preserve"> the guard band (PRB) above the upper edge of RB-set </w:t>
            </w:r>
            <w:r w:rsidRPr="00BA0C02">
              <w:rPr>
                <w:rFonts w:ascii="Arial" w:hAnsi="Arial" w:cs="Arial"/>
                <w:i/>
                <w:iCs/>
                <w:sz w:val="18"/>
                <w:lang w:val="en-US" w:eastAsia="en-GB"/>
              </w:rPr>
              <w:t>r</w:t>
            </w:r>
            <w:r w:rsidRPr="00BA0C02">
              <w:rPr>
                <w:rFonts w:ascii="Arial" w:hAnsi="Arial" w:cs="Arial"/>
                <w:sz w:val="18"/>
                <w:lang w:val="en-US" w:eastAsia="en-GB"/>
              </w:rPr>
              <w:t xml:space="preserve">. The RB-set 0 is starting at the first common resource block (CRB) of the carrier as indicated by </w:t>
            </w:r>
            <w:proofErr w:type="spellStart"/>
            <w:r w:rsidRPr="00BA0C02">
              <w:rPr>
                <w:rFonts w:ascii="Arial" w:hAnsi="Arial" w:cs="Arial"/>
                <w:i/>
                <w:iCs/>
                <w:sz w:val="18"/>
                <w:lang w:val="en-US" w:eastAsia="en-GB"/>
              </w:rPr>
              <w:t>offsetToCarrier</w:t>
            </w:r>
            <w:proofErr w:type="spellEnd"/>
            <w:r w:rsidRPr="00BA0C02">
              <w:rPr>
                <w:rFonts w:ascii="Arial" w:hAnsi="Arial" w:cs="Arial"/>
                <w:sz w:val="18"/>
                <w:lang w:val="en-US" w:eastAsia="en-GB"/>
              </w:rPr>
              <w:t>. The total transmission bandwidth configuration (size of resource grid) including guard bands is given in between parentheses.</w:t>
            </w:r>
          </w:p>
        </w:tc>
      </w:tr>
    </w:tbl>
    <w:p w14:paraId="02392EA7" w14:textId="4BC60754" w:rsidR="00982525" w:rsidRPr="00BA0C02" w:rsidRDefault="00982525" w:rsidP="00744680">
      <w:pPr>
        <w:spacing w:before="100" w:beforeAutospacing="1"/>
        <w:jc w:val="both"/>
        <w:rPr>
          <w:rFonts w:eastAsia="等线"/>
          <w:lang w:eastAsia="zh-CN"/>
        </w:rPr>
      </w:pPr>
      <w:r>
        <w:rPr>
          <w:rFonts w:eastAsia="等线"/>
          <w:lang w:eastAsia="zh-CN"/>
        </w:rPr>
        <w:t xml:space="preserve">Besides the default pattern, it is allowed to configure the intra-cell guard band through IE </w:t>
      </w:r>
      <w:bookmarkStart w:id="11" w:name="_Hlk134720417"/>
      <w:proofErr w:type="spellStart"/>
      <w:r w:rsidRPr="00BA0C02">
        <w:rPr>
          <w:rFonts w:eastAsia="等线"/>
          <w:lang w:eastAsia="zh-CN"/>
        </w:rPr>
        <w:t>intraCellGuardBandsUL</w:t>
      </w:r>
      <w:proofErr w:type="spellEnd"/>
      <w:r w:rsidRPr="00BA0C02">
        <w:rPr>
          <w:rFonts w:eastAsia="等线"/>
          <w:lang w:eastAsia="zh-CN"/>
        </w:rPr>
        <w:t xml:space="preserve">-List and </w:t>
      </w:r>
      <w:proofErr w:type="spellStart"/>
      <w:r w:rsidRPr="00BA0C02">
        <w:rPr>
          <w:rFonts w:eastAsia="等线"/>
          <w:lang w:eastAsia="zh-CN"/>
        </w:rPr>
        <w:t>intraCellGuardBandsDL</w:t>
      </w:r>
      <w:proofErr w:type="spellEnd"/>
      <w:r w:rsidRPr="00BA0C02">
        <w:rPr>
          <w:rFonts w:eastAsia="等线"/>
          <w:lang w:eastAsia="zh-CN"/>
        </w:rPr>
        <w:t xml:space="preserve">-List </w:t>
      </w:r>
      <w:bookmarkEnd w:id="11"/>
      <w:r w:rsidRPr="00B412AB">
        <w:rPr>
          <w:rFonts w:eastAsia="等线"/>
          <w:lang w:eastAsia="zh-CN"/>
        </w:rPr>
        <w:t xml:space="preserve">under some conditions or in some regions additional </w:t>
      </w:r>
      <w:r>
        <w:rPr>
          <w:rFonts w:eastAsia="等线"/>
          <w:lang w:eastAsia="zh-CN"/>
        </w:rPr>
        <w:t xml:space="preserve">intra-cell </w:t>
      </w:r>
      <w:proofErr w:type="spellStart"/>
      <w:r w:rsidRPr="00B412AB">
        <w:rPr>
          <w:rFonts w:eastAsia="等线"/>
          <w:lang w:eastAsia="zh-CN"/>
        </w:rPr>
        <w:t>guardbands</w:t>
      </w:r>
      <w:proofErr w:type="spellEnd"/>
      <w:r w:rsidRPr="00B412AB">
        <w:rPr>
          <w:rFonts w:eastAsia="等线"/>
          <w:lang w:eastAsia="zh-CN"/>
        </w:rPr>
        <w:t xml:space="preserve"> are needed</w:t>
      </w:r>
      <w:r>
        <w:rPr>
          <w:rFonts w:eastAsia="等线"/>
          <w:lang w:eastAsia="zh-CN"/>
        </w:rPr>
        <w:t xml:space="preserve">. From our </w:t>
      </w:r>
      <w:r w:rsidR="00216487">
        <w:rPr>
          <w:rFonts w:eastAsia="等线"/>
          <w:lang w:eastAsia="zh-CN"/>
        </w:rPr>
        <w:t>understanding</w:t>
      </w:r>
      <w:r>
        <w:rPr>
          <w:rFonts w:eastAsia="等线"/>
          <w:lang w:eastAsia="zh-CN"/>
        </w:rPr>
        <w:t xml:space="preserve">, wideband operation is needed for SL-U, this flexibility of different wideband operation patterns </w:t>
      </w:r>
      <w:proofErr w:type="gramStart"/>
      <w:r>
        <w:rPr>
          <w:rFonts w:eastAsia="等线"/>
          <w:lang w:eastAsia="zh-CN"/>
        </w:rPr>
        <w:t>need</w:t>
      </w:r>
      <w:proofErr w:type="gramEnd"/>
      <w:r>
        <w:rPr>
          <w:rFonts w:eastAsia="等线"/>
          <w:lang w:eastAsia="zh-CN"/>
        </w:rPr>
        <w:t xml:space="preserve"> to be considered as NR-U did. However, the IEs </w:t>
      </w:r>
      <w:proofErr w:type="spellStart"/>
      <w:r w:rsidRPr="00B412AB">
        <w:rPr>
          <w:rFonts w:eastAsia="等线"/>
          <w:lang w:eastAsia="zh-CN"/>
        </w:rPr>
        <w:t>intraCellGuardBandsUL</w:t>
      </w:r>
      <w:proofErr w:type="spellEnd"/>
      <w:r w:rsidRPr="00B412AB">
        <w:rPr>
          <w:rFonts w:eastAsia="等线"/>
          <w:lang w:eastAsia="zh-CN"/>
        </w:rPr>
        <w:t xml:space="preserve">-List and </w:t>
      </w:r>
      <w:proofErr w:type="spellStart"/>
      <w:r w:rsidRPr="00B412AB">
        <w:rPr>
          <w:rFonts w:eastAsia="等线"/>
          <w:lang w:eastAsia="zh-CN"/>
        </w:rPr>
        <w:t>intraCellGuardBandsDL</w:t>
      </w:r>
      <w:proofErr w:type="spellEnd"/>
      <w:r w:rsidRPr="00B412AB">
        <w:rPr>
          <w:rFonts w:eastAsia="等线"/>
          <w:lang w:eastAsia="zh-CN"/>
        </w:rPr>
        <w:t xml:space="preserve">-List </w:t>
      </w:r>
      <w:r>
        <w:rPr>
          <w:rFonts w:eastAsia="等线"/>
          <w:lang w:eastAsia="zh-CN"/>
        </w:rPr>
        <w:t>apply for the UL/DL wideband operation, which is not intended for SL. In this reason, we think new IEs need to be introduced for SL-U.</w:t>
      </w:r>
    </w:p>
    <w:p w14:paraId="66BF650D" w14:textId="7BD4CA1B" w:rsidR="00982525" w:rsidRPr="00963E30" w:rsidRDefault="00982525" w:rsidP="00982525">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2</w:t>
      </w:r>
      <w:r w:rsidRPr="00B412AB">
        <w:rPr>
          <w:rFonts w:eastAsia="宋体"/>
          <w:b/>
          <w:szCs w:val="24"/>
          <w:lang w:val="en-US" w:eastAsia="zh-CN"/>
        </w:rPr>
        <w:t>: New IEs need to be introduced for SL-U wideband operations allowing configuration of intra-cell guard bands.</w:t>
      </w:r>
    </w:p>
    <w:bookmarkEnd w:id="3"/>
    <w:bookmarkEnd w:id="4"/>
    <w:bookmarkEnd w:id="5"/>
    <w:p w14:paraId="5D763184"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1A568114" w14:textId="01DD3316"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81474">
        <w:rPr>
          <w:rFonts w:eastAsia="宋体"/>
          <w:lang w:eastAsia="zh-CN"/>
        </w:rPr>
        <w:t>sync raster</w:t>
      </w:r>
      <w:r w:rsidR="00963E30" w:rsidRPr="00963E30">
        <w:rPr>
          <w:rFonts w:eastAsia="宋体"/>
          <w:lang w:eastAsia="zh-CN"/>
        </w:rPr>
        <w:t xml:space="preserve"> for SL-U single carrier operation</w:t>
      </w:r>
      <w:r w:rsidR="00581474">
        <w:rPr>
          <w:rFonts w:eastAsia="宋体"/>
          <w:lang w:eastAsia="zh-CN"/>
        </w:rPr>
        <w:t xml:space="preserve"> and SL-U wideband operation</w:t>
      </w:r>
      <w:r w:rsidR="00963E30" w:rsidRPr="00963E30">
        <w:rPr>
          <w:rFonts w:eastAsia="宋体"/>
          <w:lang w:eastAsia="zh-CN"/>
        </w:rPr>
        <w:t>.</w:t>
      </w:r>
      <w:r w:rsidR="00925858">
        <w:rPr>
          <w:rFonts w:eastAsia="宋体"/>
          <w:lang w:eastAsia="zh-CN"/>
        </w:rPr>
        <w:t xml:space="preserve"> The following proposals are made:</w:t>
      </w:r>
    </w:p>
    <w:p w14:paraId="1B86EFE9" w14:textId="7B1B90E9" w:rsidR="00B412AB" w:rsidRPr="00581474" w:rsidRDefault="00581474" w:rsidP="00117EBE">
      <w:pPr>
        <w:jc w:val="both"/>
        <w:rPr>
          <w:rFonts w:eastAsia="等线"/>
          <w:b/>
          <w:bCs/>
          <w:lang w:eastAsia="zh-CN"/>
        </w:rPr>
      </w:pPr>
      <w:r w:rsidRPr="00581474">
        <w:rPr>
          <w:rFonts w:eastAsia="等线"/>
          <w:b/>
          <w:bCs/>
          <w:lang w:eastAsia="zh-CN"/>
        </w:rPr>
        <w:t>Proposal 1: Follow the same rule in Rel-16 and do not define the sync raster for SL-U operating bands.</w:t>
      </w:r>
    </w:p>
    <w:p w14:paraId="2F713288" w14:textId="0011C8F9" w:rsidR="00982525" w:rsidRPr="00963E30" w:rsidRDefault="00982525" w:rsidP="00982525">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2</w:t>
      </w:r>
      <w:r w:rsidRPr="00B412AB">
        <w:rPr>
          <w:rFonts w:eastAsia="宋体"/>
          <w:b/>
          <w:szCs w:val="24"/>
          <w:lang w:val="en-US" w:eastAsia="zh-CN"/>
        </w:rPr>
        <w:t>: New IEs need to be introduced for SL-U wideband operations allowing configuration of intra-cell guard bands.</w:t>
      </w:r>
    </w:p>
    <w:p w14:paraId="22AE7A0A" w14:textId="77777777" w:rsidR="00F10F97" w:rsidRDefault="00F10F97" w:rsidP="00F10F97">
      <w:pPr>
        <w:pStyle w:val="1"/>
        <w:numPr>
          <w:ilvl w:val="0"/>
          <w:numId w:val="0"/>
        </w:numPr>
        <w:rPr>
          <w:rFonts w:eastAsia="宋体"/>
          <w:lang w:eastAsia="zh-CN"/>
        </w:rPr>
      </w:pPr>
      <w:r>
        <w:t>References</w:t>
      </w:r>
    </w:p>
    <w:p w14:paraId="0C5D2E19" w14:textId="5C8A6B92" w:rsidR="00AA72E6" w:rsidRDefault="00056FBF" w:rsidP="00AA72E6">
      <w:pPr>
        <w:rPr>
          <w:rFonts w:eastAsia="等线"/>
        </w:rPr>
      </w:pPr>
      <w:bookmarkStart w:id="12" w:name="_Hlk110758207"/>
      <w:r>
        <w:t>[1]</w:t>
      </w:r>
      <w:r w:rsidR="0014440F" w:rsidRPr="0014440F">
        <w:rPr>
          <w:rFonts w:eastAsia="等线"/>
        </w:rPr>
        <w:t xml:space="preserve"> </w:t>
      </w:r>
      <w:bookmarkEnd w:id="12"/>
      <w:r w:rsidR="00AA72E6" w:rsidRPr="00AA72E6">
        <w:rPr>
          <w:rFonts w:eastAsia="等线"/>
        </w:rPr>
        <w:t>R4-2310310</w:t>
      </w:r>
      <w:r w:rsidR="00AA72E6">
        <w:rPr>
          <w:rFonts w:eastAsia="等线"/>
        </w:rPr>
        <w:t xml:space="preserve">, </w:t>
      </w:r>
      <w:r w:rsidR="00AA72E6" w:rsidRPr="00AA72E6">
        <w:rPr>
          <w:rFonts w:eastAsia="等线"/>
        </w:rPr>
        <w:t>WF on NR_SL_enh2_UERF_part1</w:t>
      </w:r>
      <w:r w:rsidR="00AA72E6">
        <w:rPr>
          <w:rFonts w:eastAsia="等线"/>
        </w:rPr>
        <w:t>, OPPO, RAN4#107.</w:t>
      </w:r>
    </w:p>
    <w:p w14:paraId="454DA2F2" w14:textId="5FC2382C" w:rsidR="00EB3EB1" w:rsidRDefault="00EB3EB1" w:rsidP="00AA72E6">
      <w:pPr>
        <w:rPr>
          <w:rFonts w:eastAsia="等线"/>
        </w:rPr>
      </w:pPr>
      <w:r>
        <w:rPr>
          <w:rFonts w:eastAsia="等线"/>
        </w:rPr>
        <w:t xml:space="preserve">[2] </w:t>
      </w:r>
      <w:r w:rsidRPr="00EB3EB1">
        <w:rPr>
          <w:rFonts w:eastAsia="等线"/>
        </w:rPr>
        <w:t>R4-2310307</w:t>
      </w:r>
      <w:r>
        <w:rPr>
          <w:rFonts w:eastAsia="等线"/>
        </w:rPr>
        <w:t xml:space="preserve">, </w:t>
      </w:r>
      <w:r w:rsidRPr="00EB3EB1">
        <w:rPr>
          <w:rFonts w:eastAsia="等线"/>
        </w:rPr>
        <w:t>TP on system parameters for SL unlicensed operation for single CC</w:t>
      </w:r>
      <w:r>
        <w:rPr>
          <w:rFonts w:eastAsia="等线"/>
        </w:rPr>
        <w:t>, vivo, RAN4#107.</w:t>
      </w:r>
    </w:p>
    <w:p w14:paraId="38F1D045" w14:textId="5E7C5B3B" w:rsidR="00EB3EB1" w:rsidRPr="00AA72E6" w:rsidRDefault="00EB3EB1" w:rsidP="00AA72E6">
      <w:pPr>
        <w:rPr>
          <w:rFonts w:eastAsia="等线"/>
        </w:rPr>
      </w:pPr>
      <w:r w:rsidRPr="00EB3EB1">
        <w:rPr>
          <w:rFonts w:eastAsia="等线"/>
        </w:rPr>
        <w:t>[3] R4-2306630, WF on SLU single CC system parameters, vivo, RAN4#106bis-e.</w:t>
      </w:r>
    </w:p>
    <w:p w14:paraId="1A8C948C" w14:textId="6DBE27BB" w:rsidR="0009717D" w:rsidRPr="00BF16C6" w:rsidRDefault="00AA72E6" w:rsidP="00AA72E6">
      <w:pPr>
        <w:rPr>
          <w:rFonts w:eastAsia="等线"/>
          <w:lang w:eastAsia="zh-CN"/>
        </w:rPr>
      </w:pPr>
      <w:r w:rsidRPr="00AA72E6">
        <w:rPr>
          <w:rFonts w:eastAsia="等线"/>
        </w:rPr>
        <w:tab/>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C56EF" w14:textId="77777777" w:rsidR="0002794B" w:rsidRDefault="0002794B">
      <w:r>
        <w:separator/>
      </w:r>
    </w:p>
  </w:endnote>
  <w:endnote w:type="continuationSeparator" w:id="0">
    <w:p w14:paraId="19CD3829" w14:textId="77777777" w:rsidR="0002794B" w:rsidRDefault="0002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567F9" w14:textId="77777777" w:rsidR="0002794B" w:rsidRDefault="0002794B">
      <w:r>
        <w:separator/>
      </w:r>
    </w:p>
  </w:footnote>
  <w:footnote w:type="continuationSeparator" w:id="0">
    <w:p w14:paraId="12F8F197" w14:textId="77777777" w:rsidR="0002794B" w:rsidRDefault="00027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8"/>
  </w:num>
  <w:num w:numId="5">
    <w:abstractNumId w:val="12"/>
  </w:num>
  <w:num w:numId="6">
    <w:abstractNumId w:val="5"/>
  </w:num>
  <w:num w:numId="7">
    <w:abstractNumId w:val="16"/>
  </w:num>
  <w:num w:numId="8">
    <w:abstractNumId w:val="10"/>
  </w:num>
  <w:num w:numId="9">
    <w:abstractNumId w:val="23"/>
  </w:num>
  <w:num w:numId="10">
    <w:abstractNumId w:val="0"/>
  </w:num>
  <w:num w:numId="11">
    <w:abstractNumId w:val="3"/>
  </w:num>
  <w:num w:numId="12">
    <w:abstractNumId w:val="24"/>
  </w:num>
  <w:num w:numId="13">
    <w:abstractNumId w:val="11"/>
  </w:num>
  <w:num w:numId="14">
    <w:abstractNumId w:val="21"/>
  </w:num>
  <w:num w:numId="15">
    <w:abstractNumId w:val="19"/>
  </w:num>
  <w:num w:numId="16">
    <w:abstractNumId w:val="22"/>
  </w:num>
  <w:num w:numId="17">
    <w:abstractNumId w:val="16"/>
  </w:num>
  <w:num w:numId="18">
    <w:abstractNumId w:val="1"/>
  </w:num>
  <w:num w:numId="19">
    <w:abstractNumId w:val="4"/>
  </w:num>
  <w:num w:numId="20">
    <w:abstractNumId w:val="27"/>
  </w:num>
  <w:num w:numId="21">
    <w:abstractNumId w:val="8"/>
  </w:num>
  <w:num w:numId="22">
    <w:abstractNumId w:val="9"/>
  </w:num>
  <w:num w:numId="23">
    <w:abstractNumId w:val="7"/>
  </w:num>
  <w:num w:numId="24">
    <w:abstractNumId w:val="20"/>
  </w:num>
  <w:num w:numId="25">
    <w:abstractNumId w:val="14"/>
  </w:num>
  <w:num w:numId="26">
    <w:abstractNumId w:val="18"/>
  </w:num>
  <w:num w:numId="27">
    <w:abstractNumId w:val="26"/>
  </w:num>
  <w:num w:numId="28">
    <w:abstractNumId w:val="2"/>
  </w:num>
  <w:num w:numId="29">
    <w:abstractNumId w:val="17"/>
  </w:num>
  <w:num w:numId="30">
    <w:abstractNumId w:val="18"/>
  </w:num>
  <w:num w:numId="31">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94B"/>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2E65"/>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487"/>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0CB6"/>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474"/>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AA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680"/>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04F"/>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49D"/>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2525"/>
    <w:rsid w:val="00982805"/>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2E6"/>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3EB1"/>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669"/>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5CB"/>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paragraph" w:styleId="afff4">
    <w:name w:val="List Paragraph"/>
    <w:aliases w:val="Lista1,列出段落1,中等深浅网格 1 - 着色 21,R4_bullets,列表段落1,—ño’i—Ž,¥¡¡¡¡ì¬º¥¹¥È¶ÎÂä,ÁÐ³ö¶ÎÂä,¥ê¥¹¥È¶ÎÂä,1st level - Bullet List Paragraph,Lettre d'introduction,Paragrafo elenco,Normal bullet 2,Bullet list,목록단락,列表段落11"/>
    <w:basedOn w:val="a1"/>
    <w:uiPriority w:val="34"/>
    <w:qFormat/>
    <w:rsid w:val="00982525"/>
    <w:pPr>
      <w:ind w:firstLineChars="200" w:firstLine="420"/>
      <w:textAlignment w:val="auto"/>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3447148">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2395676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9288260">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9BACC-40AB-40E1-92BF-07D98387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675</TotalTime>
  <Pages>3</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81</cp:revision>
  <cp:lastPrinted>2010-01-07T02:23:00Z</cp:lastPrinted>
  <dcterms:created xsi:type="dcterms:W3CDTF">2022-07-28T02:31:00Z</dcterms:created>
  <dcterms:modified xsi:type="dcterms:W3CDTF">2023-08-11T10:38:00Z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